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480" w:lineRule="auto"/>
        <w:ind w:left="-708.6614173228347" w:firstLine="0"/>
        <w:jc w:val="center"/>
        <w:rPr>
          <w:rFonts w:ascii="Century Gothic" w:cs="Century Gothic" w:eastAsia="Century Gothic" w:hAnsi="Century Gothic"/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480" w:lineRule="auto"/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ANÁLISE DE RISCO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PAE nº aaaa/nnnn</w:t>
      </w:r>
      <w:r w:rsidDel="00000000" w:rsidR="00000000" w:rsidRPr="00000000">
        <w:rPr>
          <w:rtl w:val="0"/>
        </w:rPr>
      </w:r>
    </w:p>
    <w:tbl>
      <w:tblPr>
        <w:tblStyle w:val="Table1"/>
        <w:tblW w:w="9929.0" w:type="dxa"/>
        <w:jc w:val="center"/>
        <w:tblLayout w:type="fixed"/>
        <w:tblLook w:val="0400"/>
      </w:tblPr>
      <w:tblGrid>
        <w:gridCol w:w="1866"/>
        <w:gridCol w:w="538"/>
        <w:gridCol w:w="2083"/>
        <w:gridCol w:w="1269"/>
        <w:gridCol w:w="187"/>
        <w:gridCol w:w="3986"/>
        <w:tblGridChange w:id="0">
          <w:tblGrid>
            <w:gridCol w:w="1866"/>
            <w:gridCol w:w="538"/>
            <w:gridCol w:w="2083"/>
            <w:gridCol w:w="1269"/>
            <w:gridCol w:w="187"/>
            <w:gridCol w:w="398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293a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RISCO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293a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after="80" w:before="8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PROBABILIDADE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293a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after="80" w:before="8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IMPACTO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293a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DANO</w:t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Descrever o risco.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Baixa.</w:t>
            </w:r>
          </w:p>
          <w:p w:rsidR="00000000" w:rsidDel="00000000" w:rsidP="00000000" w:rsidRDefault="00000000" w:rsidRPr="00000000" w14:paraId="0000000C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Média.</w:t>
            </w:r>
          </w:p>
          <w:p w:rsidR="00000000" w:rsidDel="00000000" w:rsidP="00000000" w:rsidRDefault="00000000" w:rsidRPr="00000000" w14:paraId="0000000D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Alta.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Baixo.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Identificar o dano decorrente da ocorrência do evento futuro.</w:t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Médio.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Alto.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4c81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4c81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DESCRIÇÃO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4c81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2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RESPONSÁVEL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80" w:before="8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PREVENTIVA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80" w:before="80" w:lineRule="auto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Identificar a ação a ser adotada para diminuir a probabilidade de acontecer o evento indesejado.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smallCaps w:val="1"/>
                <w:rtl w:val="0"/>
              </w:rPr>
              <w:t xml:space="preserve">Nome do Responsável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eeaf6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80" w:before="80" w:lineRule="auto"/>
              <w:jc w:val="righ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CONTINGENCIAL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eeaf6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after="80" w:before="80" w:lineRule="auto"/>
              <w:jc w:val="both"/>
              <w:rPr>
                <w:rFonts w:ascii="Quattrocento Sans" w:cs="Quattrocento Sans" w:eastAsia="Quattrocento Sans" w:hAnsi="Quattrocento Sans"/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Identificar a ação a ser adotada para diminuir os efeitos do evento indesejado, caso ele ocorra.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eeaf6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smallCaps w:val="1"/>
              </w:rPr>
            </w:pPr>
            <w:r w:rsidDel="00000000" w:rsidR="00000000" w:rsidRPr="00000000">
              <w:rPr>
                <w:smallCaps w:val="1"/>
                <w:rtl w:val="0"/>
              </w:rPr>
              <w:t xml:space="preserve">Nome do Responsável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after="480" w:lineRule="auto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Cidade (UF), (dia) de (mês) de (ano).</w:t>
      </w:r>
    </w:p>
    <w:p w:rsidR="00000000" w:rsidDel="00000000" w:rsidP="00000000" w:rsidRDefault="00000000" w:rsidRPr="00000000" w14:paraId="00000030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Assinatura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</w:t>
      </w:r>
    </w:p>
    <w:p w:rsidR="00000000" w:rsidDel="00000000" w:rsidP="00000000" w:rsidRDefault="00000000" w:rsidRPr="00000000" w14:paraId="00000032">
      <w:pPr>
        <w:jc w:val="center"/>
        <w:rPr>
          <w:rFonts w:ascii="Quattrocento Sans" w:cs="Quattrocento Sans" w:eastAsia="Quattrocento Sans" w:hAnsi="Quattrocento Sans"/>
          <w:b w:val="1"/>
          <w:smallCaps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mallCaps w:val="1"/>
          <w:rtl w:val="0"/>
        </w:rPr>
        <w:t xml:space="preserve">Nome do Servidor</w:t>
      </w:r>
    </w:p>
    <w:p w:rsidR="00000000" w:rsidDel="00000000" w:rsidP="00000000" w:rsidRDefault="00000000" w:rsidRPr="00000000" w14:paraId="00000033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Cargo e matrícula</w:t>
      </w:r>
    </w:p>
    <w:p w:rsidR="00000000" w:rsidDel="00000000" w:rsidP="00000000" w:rsidRDefault="00000000" w:rsidRPr="00000000" w14:paraId="00000034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entury Gothic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Avenida Gentil Bittencourt nº 650 - FCP - Bairro: Nazaré - CEP: 66.035-340 - Belém / Pará / Brasil</w:t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045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47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48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4500378</wp:posOffset>
          </wp:positionH>
          <wp:positionV relativeFrom="paragraph">
            <wp:posOffset>48563</wp:posOffset>
          </wp:positionV>
          <wp:extent cx="1197980" cy="750627"/>
          <wp:effectExtent b="0" l="0" r="0" t="0"/>
          <wp:wrapNone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97980" cy="75062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42545</wp:posOffset>
          </wp:positionH>
          <wp:positionV relativeFrom="paragraph">
            <wp:posOffset>48260</wp:posOffset>
          </wp:positionV>
          <wp:extent cx="840740" cy="832485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740" cy="8324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284"/>
        <w:tab w:val="center" w:leader="none" w:pos="4111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GOVERNO DO ESTADO DO PARÁ</w:t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234"/>
        <w:tab w:val="left" w:leader="none" w:pos="419"/>
        <w:tab w:val="left" w:leader="none" w:pos="653"/>
        <w:tab w:val="left" w:leader="none" w:pos="1038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ab/>
      <w:tab/>
      <w:tab/>
      <w:t xml:space="preserve">SECRETARIA DE ESTADO DE CULTURA</w:t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19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FUNDAÇÃO CULTURAL DO ESTADO DO PARÁ</w:t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-133349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4400550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42">
    <w:pPr>
      <w:spacing w:after="0" w:line="240" w:lineRule="auto"/>
      <w:ind w:left="-708.6614173228347" w:right="-267.4015748031485" w:firstLine="0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CenturyGothic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9" Type="http://schemas.openxmlformats.org/officeDocument/2006/relationships/font" Target="fonts/QuattrocentoSans-regular.ttf"/><Relationship Id="rId15" Type="http://schemas.openxmlformats.org/officeDocument/2006/relationships/font" Target="fonts/CenturyGothic-italic.ttf"/><Relationship Id="rId14" Type="http://schemas.openxmlformats.org/officeDocument/2006/relationships/font" Target="fonts/CenturyGothic-bold.ttf"/><Relationship Id="rId16" Type="http://schemas.openxmlformats.org/officeDocument/2006/relationships/font" Target="fonts/CenturyGothic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